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80" w:lineRule="exact"/>
        <w:rPr>
          <w:rFonts w:ascii="仿宋" w:eastAsia="仿宋" w:hAnsi="仿宋"/>
          <w:spacing w:val="-1"/>
          <w:sz w:val="32"/>
          <w:szCs w:val="32"/>
        </w:rPr>
      </w:pPr>
      <w:r>
        <w:rPr>
          <w:rFonts w:ascii="仿宋" w:eastAsia="仿宋" w:hAnsi="仿宋" w:hint="eastAsia"/>
          <w:noProof/>
          <w:spacing w:val="-1"/>
          <w:sz w:val="24"/>
        </w:rPr>
        <mc:AlternateContent>
          <mc:Choice Requires="wps">
            <w:drawing>
              <wp:anchor distT="0" distB="0" distL="114300" distR="114300" simplePos="0" relativeHeight="251659264" behindDoc="0" locked="0" layoutInCell="1" allowOverlap="1">
                <wp:simplePos x="0" y="0"/>
                <wp:positionH relativeFrom="page">
                  <wp:posOffset>949325</wp:posOffset>
                </wp:positionH>
                <wp:positionV relativeFrom="page">
                  <wp:posOffset>1351915</wp:posOffset>
                </wp:positionV>
                <wp:extent cx="5765800" cy="13462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5765800" cy="1346200"/>
                        </a:xfrm>
                        <a:prstGeom prst="rect">
                          <a:avLst/>
                        </a:prstGeom>
                        <a:noFill/>
                        <a:ln>
                          <a:noFill/>
                        </a:ln>
                        <a:effectLst/>
                      </wps:spPr>
                      <wps:txbx>
                        <w:txbxContent>
                          <w:p>
                            <w:pPr>
                              <w:spacing w:line="1541" w:lineRule="atLeast"/>
                              <w:jc w:val="center"/>
                              <w:rPr>
                                <w:rFonts w:ascii="方正小标宋简体" w:eastAsia="方正小标宋简体" w:hAnsi="方正小标宋简体" w:cs="方正小标宋简体"/>
                                <w:color w:val="FF0000"/>
                                <w:spacing w:val="11"/>
                                <w:w w:val="38"/>
                                <w:kern w:val="144"/>
                              </w:rPr>
                            </w:pPr>
                            <w:r>
                              <w:rPr>
                                <w:rFonts w:ascii="方正小标宋简体" w:eastAsia="方正小标宋简体" w:hAnsi="方正小标宋简体" w:cs="方正小标宋简体" w:hint="eastAsia"/>
                                <w:color w:val="FF0000"/>
                                <w:spacing w:val="11"/>
                                <w:w w:val="38"/>
                                <w:kern w:val="144"/>
                                <w:sz w:val="134"/>
                              </w:rPr>
                              <w:t>大连长兴岛经济技术开发区人民检察院</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left:0;text-align:left;margin-left:74.75pt;margin-top:106.45pt;width:454pt;height:106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" filled="f" stroked="f">
                <v:textbox inset="0,0,0,0">
                  <w:txbxContent>
                    <w:p>
                      <w:pPr>
                        <w:spacing w:line="1541" w:lineRule="atLeast"/>
                        <w:jc w:val="center"/>
                        <w:rPr>
                          <w:rFonts w:ascii="方正小标宋简体" w:eastAsia="方正小标宋简体" w:hAnsi="方正小标宋简体" w:cs="方正小标宋简体"/>
                          <w:color w:val="FF0000"/>
                          <w:spacing w:val="11"/>
                          <w:w w:val="38"/>
                          <w:kern w:val="144"/>
                        </w:rPr>
                      </w:pPr>
                      <w:r>
                        <w:rPr>
                          <w:rFonts w:ascii="方正小标宋简体" w:eastAsia="方正小标宋简体" w:hAnsi="方正小标宋简体" w:cs="方正小标宋简体" w:hint="eastAsia"/>
                          <w:color w:val="FF0000"/>
                          <w:spacing w:val="11"/>
                          <w:w w:val="38"/>
                          <w:kern w:val="144"/>
                          <w:sz w:val="134"/>
                        </w:rPr>
                        <w:t>大连长兴岛经济技术开发区人民检察院</w:t>
                      </w:r>
                    </w:p>
                  </w:txbxContent>
                </v:textbox>
                <w10:wrap anchorx="page" anchory="page"/>
              </v:shape>
            </w:pict>
          </mc:Fallback>
        </mc:AlternateContent>
      </w:r>
    </w:p>
    <w:p>
      <w:pPr>
        <w:spacing w:line="580" w:lineRule="exact"/>
        <w:rPr>
          <w:rFonts w:ascii="仿宋" w:eastAsia="仿宋" w:hAnsi="仿宋" w:cs="仿宋"/>
          <w:spacing w:val="-1"/>
          <w:sz w:val="32"/>
        </w:rPr>
      </w:pPr>
    </w:p>
    <w:p>
      <w:pPr>
        <w:spacing w:line="580" w:lineRule="exact"/>
        <w:rPr>
          <w:rFonts w:ascii="仿宋" w:eastAsia="仿宋" w:hAnsi="仿宋" w:cs="仿宋"/>
          <w:spacing w:val="-1"/>
          <w:sz w:val="32"/>
        </w:rPr>
      </w:pPr>
    </w:p>
    <w:p>
      <w:pPr>
        <w:spacing w:line="580" w:lineRule="exact"/>
        <w:jc w:val="center"/>
        <w:rPr>
          <w:rFonts w:ascii="仿宋" w:eastAsia="仿宋" w:hAnsi="仿宋" w:cs="仿宋"/>
          <w:spacing w:val="-1"/>
          <w:sz w:val="32"/>
        </w:rPr>
      </w:pPr>
    </w:p>
    <w:p>
      <w:pPr>
        <w:ind w:firstLineChars="100" w:firstLine="320"/>
        <w:jc w:val="center"/>
        <w:rPr>
          <w:rFonts w:ascii="楷体" w:eastAsia="仿宋" w:hAnsi="楷体" w:cs="楷体" w:hint="eastAsia"/>
          <w:sz w:val="32"/>
          <w:szCs w:val="32"/>
        </w:rPr>
      </w:pPr>
      <w:r>
        <w:rPr>
          <w:rFonts w:ascii="仿宋" w:eastAsia="仿宋" w:hAnsi="仿宋" w:cs="仿宋"/>
          <w:noProof/>
          <w:sz w:val="32"/>
          <w:szCs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311785</wp:posOffset>
                </wp:positionV>
                <wp:extent cx="5637530" cy="4445"/>
                <wp:effectExtent l="0" t="0" r="0" b="0"/>
                <wp:wrapNone/>
                <wp:docPr id="15" name="直接箭头连接符 15"/>
                <wp:cNvGraphicFramePr/>
                <a:graphic xmlns:a="http://schemas.openxmlformats.org/drawingml/2006/main">
                  <a:graphicData uri="http://schemas.microsoft.com/office/word/2010/wordprocessingShape">
                    <wps:wsp>
                      <wps:cNvCnPr/>
                      <wps:spPr>
                        <a:xfrm>
                          <a:off x="0" y="0"/>
                          <a:ext cx="5637530" cy="4445"/>
                        </a:xfrm>
                        <a:prstGeom prst="straightConnector1">
                          <a:avLst/>
                        </a:prstGeom>
                        <a:ln w="19050" cap="flat" cmpd="sng">
                          <a:solidFill>
                            <a:srgbClr val="FF0000"/>
                          </a:solidFill>
                          <a:prstDash val="solid"/>
                          <a:headEnd type="none" w="med" len="med"/>
                          <a:tailEnd type="none" w="med" len="med"/>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接箭头连接符 15" o:spid="_x0000_s1026" type="#_x0000_t32" style="position:absolute;left:0;text-align:left;margin-left:-.3pt;margin-top:24.55pt;width:443.9pt;height:.3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" strokecolor="red" strokeweight="1.5pt"/>
            </w:pict>
          </mc:Fallback>
        </mc:AlternateContent>
      </w:r>
    </w:p>
    <w:p>
      <w:pPr>
        <w:ind w:firstLineChars="200" w:firstLine="883"/>
        <w:jc w:val="center"/>
        <w:rPr>
          <w:rFonts w:asciiTheme="majorEastAsia" w:eastAsiaTheme="majorEastAsia" w:hAnsiTheme="majorEastAsia" w:cs="仿宋"/>
          <w:b/>
          <w:bCs/>
          <w:sz w:val="44"/>
          <w:szCs w:val="44"/>
        </w:rPr>
      </w:pPr>
    </w:p>
    <w:p>
      <w:pPr>
        <w:ind w:firstLineChars="200" w:firstLine="883"/>
        <w:jc w:val="center"/>
        <w:rPr>
          <w:rFonts w:asciiTheme="majorEastAsia" w:eastAsiaTheme="majorEastAsia" w:hAnsiTheme="majorEastAsia" w:cs="仿宋"/>
          <w:b/>
          <w:bCs/>
          <w:sz w:val="44"/>
          <w:szCs w:val="44"/>
        </w:rPr>
      </w:pPr>
      <w:bookmarkStart w:id="0" w:name="_GoBack"/>
      <w:bookmarkEnd w:id="0"/>
      <w:r>
        <w:rPr>
          <w:rFonts w:asciiTheme="majorEastAsia" w:eastAsiaTheme="majorEastAsia" w:hAnsiTheme="majorEastAsia" w:cs="仿宋" w:hint="eastAsia"/>
          <w:b/>
          <w:bCs/>
          <w:sz w:val="44"/>
          <w:szCs w:val="44"/>
        </w:rPr>
        <w:t>长兴岛</w:t>
      </w:r>
      <w:r>
        <w:rPr>
          <w:rFonts w:asciiTheme="majorEastAsia" w:eastAsiaTheme="majorEastAsia" w:hAnsiTheme="majorEastAsia" w:cs="仿宋"/>
          <w:b/>
          <w:bCs/>
          <w:sz w:val="44"/>
          <w:szCs w:val="44"/>
        </w:rPr>
        <w:t>经济技术</w:t>
      </w:r>
      <w:r>
        <w:rPr>
          <w:rFonts w:asciiTheme="majorEastAsia" w:eastAsiaTheme="majorEastAsia" w:hAnsiTheme="majorEastAsia" w:cs="仿宋" w:hint="eastAsia"/>
          <w:b/>
          <w:bCs/>
          <w:sz w:val="44"/>
          <w:szCs w:val="44"/>
        </w:rPr>
        <w:t>开发区</w:t>
      </w:r>
      <w:r>
        <w:rPr>
          <w:rFonts w:asciiTheme="majorEastAsia" w:eastAsiaTheme="majorEastAsia" w:hAnsiTheme="majorEastAsia" w:cs="仿宋"/>
          <w:b/>
          <w:bCs/>
          <w:sz w:val="44"/>
          <w:szCs w:val="44"/>
        </w:rPr>
        <w:t>人民检察院</w:t>
      </w:r>
    </w:p>
    <w:p>
      <w:pPr>
        <w:ind w:firstLineChars="200" w:firstLine="883"/>
        <w:jc w:val="center"/>
        <w:rPr>
          <w:rFonts w:asciiTheme="majorEastAsia" w:eastAsiaTheme="majorEastAsia" w:hAnsiTheme="majorEastAsia" w:cs="仿宋"/>
          <w:b/>
          <w:bCs/>
          <w:sz w:val="44"/>
          <w:szCs w:val="44"/>
        </w:rPr>
      </w:pPr>
      <w:r>
        <w:rPr>
          <w:rFonts w:asciiTheme="majorEastAsia" w:eastAsiaTheme="majorEastAsia" w:hAnsiTheme="majorEastAsia" w:cs="仿宋" w:hint="eastAsia"/>
          <w:b/>
          <w:bCs/>
          <w:sz w:val="44"/>
          <w:szCs w:val="44"/>
        </w:rPr>
        <w:t>2024年</w:t>
      </w:r>
      <w:r>
        <w:rPr>
          <w:rFonts w:asciiTheme="majorEastAsia" w:eastAsiaTheme="majorEastAsia" w:hAnsiTheme="majorEastAsia" w:cs="仿宋"/>
          <w:b/>
          <w:bCs/>
          <w:sz w:val="44"/>
          <w:szCs w:val="44"/>
        </w:rPr>
        <w:t>工作总结</w:t>
      </w:r>
    </w:p>
    <w:p>
      <w:pPr>
        <w:rPr>
          <w:rFonts w:hint="eastAsia"/>
        </w:rPr>
      </w:pPr>
    </w:p>
    <w:p>
      <w:pPr>
        <w:ind w:firstLineChars="200" w:firstLine="640"/>
        <w:rPr>
          <w:rFonts w:ascii="仿宋" w:eastAsia="仿宋" w:hAnsi="仿宋" w:cs="仿宋"/>
          <w:bCs/>
          <w:sz w:val="32"/>
          <w:szCs w:val="32"/>
        </w:rPr>
      </w:pPr>
      <w:r>
        <w:rPr>
          <w:rFonts w:ascii="仿宋" w:eastAsia="仿宋" w:hAnsi="仿宋" w:cs="仿宋" w:hint="eastAsia"/>
          <w:bCs/>
          <w:sz w:val="32"/>
          <w:szCs w:val="32"/>
        </w:rPr>
        <w:t>2024年，长兴岛检察院在市院党组和区党工委的正确领导下，以习近平新时代中国特色社会主义思想为指导，全面贯彻落实最高检、省市院检察长会议精神，主动作为，积极进取，不断推动检察工作高质量发展，取得较好成绩。</w:t>
      </w:r>
    </w:p>
    <w:p>
      <w:pPr>
        <w:ind w:firstLineChars="200" w:firstLine="640"/>
        <w:rPr>
          <w:rFonts w:ascii="仿宋" w:eastAsia="仿宋" w:hAnsi="仿宋" w:cs="仿宋"/>
          <w:bCs/>
          <w:sz w:val="32"/>
          <w:szCs w:val="32"/>
        </w:rPr>
      </w:pPr>
      <w:r>
        <w:rPr>
          <w:rFonts w:ascii="仿宋" w:eastAsia="仿宋" w:hAnsi="仿宋" w:cs="仿宋" w:hint="eastAsia"/>
          <w:bCs/>
          <w:sz w:val="32"/>
          <w:szCs w:val="32"/>
        </w:rPr>
        <w:t>“确立一个目标，打造一个品牌，实现二大突破”的工作思路。“确立一个目标”即确立争创一流业绩的目标，“打造一个品牌”即打造“检察+石化产业”特色品牌，“实现二大突破”即助推长兴岛振兴发展有新突破和推进长兴岛检察工作现代化有新突破。</w:t>
      </w:r>
    </w:p>
    <w:p>
      <w:pPr>
        <w:tabs>
          <w:tab w:val="left" w:pos="7605"/>
        </w:tabs>
        <w:ind w:firstLineChars="200" w:firstLine="640"/>
        <w:rPr>
          <w:rFonts w:ascii="黑体" w:eastAsia="黑体" w:hAnsi="黑体"/>
        </w:rPr>
      </w:pPr>
      <w:r>
        <w:rPr>
          <w:rFonts w:ascii="黑体" w:eastAsia="黑体" w:hAnsi="黑体" w:cs="仿宋" w:hint="eastAsia"/>
          <w:bCs/>
          <w:sz w:val="32"/>
          <w:szCs w:val="32"/>
        </w:rPr>
        <w:t>一</w:t>
      </w:r>
      <w:r>
        <w:rPr>
          <w:rFonts w:ascii="黑体" w:eastAsia="黑体" w:hAnsi="黑体" w:cs="仿宋"/>
          <w:bCs/>
          <w:sz w:val="32"/>
          <w:szCs w:val="32"/>
        </w:rPr>
        <w:t>、</w:t>
      </w:r>
      <w:r>
        <w:rPr>
          <w:rFonts w:ascii="黑体" w:eastAsia="黑体" w:hAnsi="黑体" w:cs="仿宋" w:hint="eastAsia"/>
          <w:bCs/>
          <w:sz w:val="32"/>
          <w:szCs w:val="32"/>
        </w:rPr>
        <w:t>工作情况</w:t>
      </w:r>
    </w:p>
    <w:p>
      <w:pPr>
        <w:spacing w:line="578" w:lineRule="exact"/>
        <w:ind w:firstLineChars="200" w:firstLine="640"/>
        <w:rPr>
          <w:rFonts w:ascii="仿宋_GB2312" w:eastAsia="仿宋_GB2312" w:hAnsi="仿宋_GB2312" w:cs="仿宋_GB2312"/>
          <w:bCs/>
          <w:sz w:val="32"/>
          <w:szCs w:val="32"/>
        </w:rPr>
      </w:pPr>
      <w:r>
        <w:rPr>
          <w:rFonts w:ascii="楷体" w:eastAsia="楷体" w:hAnsi="楷体" w:cs="仿宋" w:hint="eastAsia"/>
          <w:bCs/>
          <w:sz w:val="32"/>
          <w:szCs w:val="32"/>
        </w:rPr>
        <w:t>（一）刑事</w:t>
      </w:r>
      <w:r>
        <w:rPr>
          <w:rFonts w:ascii="楷体" w:eastAsia="楷体" w:hAnsi="楷体" w:cs="仿宋"/>
          <w:bCs/>
          <w:sz w:val="32"/>
          <w:szCs w:val="32"/>
        </w:rPr>
        <w:t>检察</w:t>
      </w:r>
      <w:r>
        <w:rPr>
          <w:rFonts w:ascii="楷体" w:eastAsia="楷体" w:hAnsi="楷体" w:cs="仿宋" w:hint="eastAsia"/>
          <w:bCs/>
          <w:sz w:val="32"/>
          <w:szCs w:val="32"/>
        </w:rPr>
        <w:t>工作。</w:t>
      </w:r>
      <w:r>
        <w:rPr>
          <w:rFonts w:ascii="仿宋_GB2312" w:eastAsia="仿宋_GB2312" w:hAnsi="仿宋_GB2312" w:cs="仿宋_GB2312" w:hint="eastAsia"/>
          <w:bCs/>
          <w:sz w:val="32"/>
          <w:szCs w:val="32"/>
        </w:rPr>
        <w:t>截止2024年1</w:t>
      </w:r>
      <w:r>
        <w:rPr>
          <w:rFonts w:ascii="仿宋_GB2312" w:eastAsia="仿宋_GB2312" w:hAnsi="仿宋_GB2312" w:cs="仿宋_GB2312"/>
          <w:bCs/>
          <w:sz w:val="32"/>
          <w:szCs w:val="32"/>
        </w:rPr>
        <w:t>0</w:t>
      </w:r>
      <w:r>
        <w:rPr>
          <w:rFonts w:ascii="仿宋_GB2312" w:eastAsia="仿宋_GB2312" w:hAnsi="仿宋_GB2312" w:cs="仿宋_GB2312" w:hint="eastAsia"/>
          <w:bCs/>
          <w:sz w:val="32"/>
          <w:szCs w:val="32"/>
        </w:rPr>
        <w:t>月</w:t>
      </w:r>
      <w:r>
        <w:rPr>
          <w:rFonts w:ascii="仿宋_GB2312" w:eastAsia="仿宋_GB2312" w:hAnsi="仿宋_GB2312" w:cs="仿宋_GB2312"/>
          <w:bCs/>
          <w:sz w:val="32"/>
          <w:szCs w:val="32"/>
        </w:rPr>
        <w:t>底</w:t>
      </w:r>
      <w:r>
        <w:rPr>
          <w:rFonts w:ascii="仿宋_GB2312" w:eastAsia="仿宋_GB2312" w:hAnsi="仿宋_GB2312" w:cs="仿宋_GB2312" w:hint="eastAsia"/>
          <w:bCs/>
          <w:sz w:val="32"/>
          <w:szCs w:val="32"/>
        </w:rPr>
        <w:t>，共受理审查逮捕案件39件74人，其中批准逮捕31件50人（包括2023年2件2人积案），不批准逮捕9件22人，不捕率30.56%；共受理审查起诉案件135件206人，起诉100件113人，不起诉31件69人，不诉率为33.5%。未检工作方面：截止2024年10月16日，受理审查逮捕案件8件17人，其中逮捕8件14人，不批准逮捕3人，不捕率17.64%；受理公诉案件8件13人，起诉6件8人（包括2023年1人积案），不起诉2件6人，不起诉率为46.15%，其中附条件不起诉1人，附条件不起诉率为20%。综合履职率为12.5%。</w:t>
      </w:r>
    </w:p>
    <w:p>
      <w:pPr>
        <w:spacing w:line="578" w:lineRule="exact"/>
        <w:ind w:firstLine="643"/>
        <w:rPr>
          <w:rFonts w:ascii="仿宋_GB2312" w:eastAsia="仿宋_GB2312" w:hAnsi="仿宋_GB2312" w:cs="仿宋_GB2312"/>
          <w:bCs/>
          <w:sz w:val="32"/>
          <w:szCs w:val="32"/>
        </w:rPr>
      </w:pPr>
      <w:r>
        <w:rPr>
          <w:rFonts w:ascii="仿宋_GB2312" w:eastAsia="仿宋_GB2312" w:hAnsi="仿宋_GB2312" w:cs="仿宋_GB2312" w:hint="eastAsia"/>
          <w:b/>
          <w:bCs/>
          <w:color w:val="333333"/>
          <w:sz w:val="32"/>
          <w:szCs w:val="32"/>
        </w:rPr>
        <w:t>1.依托“侦协办”延伸监督、配合触角。</w:t>
      </w:r>
      <w:r>
        <w:rPr>
          <w:rFonts w:ascii="仿宋_GB2312" w:eastAsia="仿宋_GB2312" w:hAnsi="仿宋_GB2312" w:cs="仿宋_GB2312" w:hint="eastAsia"/>
          <w:bCs/>
          <w:sz w:val="32"/>
          <w:szCs w:val="32"/>
        </w:rPr>
        <w:t>联合区公安分局法制大队、刑侦大队等部门召开了2024年度刑事检察工作协调会，工作成效非常明显。截止目前，纠正漏捕漏诉率位列14个基层院第一。同时依靠“侦协办”监督立案1件，监督撤案1件，其中监督立案的刘百全强奸、介</w:t>
      </w:r>
      <w:r>
        <w:rPr>
          <w:rFonts w:ascii="仿宋_GB2312" w:eastAsia="仿宋_GB2312" w:hAnsi="仿宋_GB2312" w:cs="仿宋_GB2312" w:hint="eastAsia"/>
          <w:bCs/>
          <w:sz w:val="32"/>
          <w:szCs w:val="32"/>
        </w:rPr>
        <w:lastRenderedPageBreak/>
        <w:t>绍、容留卖淫罪一案作为全国优秀监督案例上报省院。</w:t>
      </w:r>
    </w:p>
    <w:p>
      <w:pPr>
        <w:ind w:leftChars="50" w:left="105" w:firstLine="643"/>
        <w:rPr>
          <w:rFonts w:ascii="仿宋_GB2312" w:eastAsia="仿宋_GB2312" w:hAnsi="仿宋_GB2312" w:cs="仿宋_GB2312"/>
          <w:bCs/>
          <w:sz w:val="32"/>
          <w:szCs w:val="32"/>
        </w:rPr>
      </w:pPr>
      <w:r>
        <w:rPr>
          <w:rFonts w:ascii="仿宋_GB2312" w:eastAsia="仿宋_GB2312" w:hAnsi="仿宋_GB2312" w:cs="仿宋_GB2312"/>
          <w:b/>
          <w:bCs/>
          <w:color w:val="333333"/>
          <w:sz w:val="32"/>
          <w:szCs w:val="32"/>
        </w:rPr>
        <w:t>2.</w:t>
      </w:r>
      <w:r>
        <w:rPr>
          <w:rFonts w:ascii="仿宋_GB2312" w:eastAsia="仿宋_GB2312" w:hAnsi="仿宋_GB2312" w:cs="仿宋_GB2312" w:hint="eastAsia"/>
          <w:b/>
          <w:bCs/>
          <w:color w:val="333333"/>
          <w:sz w:val="32"/>
          <w:szCs w:val="32"/>
        </w:rPr>
        <w:t>推进“轻罪治理体系”高质效办好群众身边的“小案”。</w:t>
      </w:r>
      <w:r>
        <w:rPr>
          <w:rFonts w:ascii="仿宋_GB2312" w:eastAsia="仿宋_GB2312" w:hAnsi="仿宋_GB2312" w:cs="仿宋_GB2312" w:hint="eastAsia"/>
          <w:bCs/>
          <w:sz w:val="32"/>
          <w:szCs w:val="32"/>
        </w:rPr>
        <w:t>针对长兴岛地区案件特点，结合轻罪治理工作，成立办案组专门办理危险驾驶罪、交通肇事罪、故意伤害罪、盗窃罪等轻微小案，缩短了办案周期，提高了办案质效。办案组运行以来，取保候审案件办案时长从去年同期的平均51天缩短到37天。针对办案中发现的问题，</w:t>
      </w:r>
      <w:r>
        <w:rPr>
          <w:rFonts w:ascii="仿宋_GB2312" w:eastAsia="仿宋_GB2312" w:hAnsi="仿宋_GB2312" w:cs="仿宋_GB2312"/>
          <w:bCs/>
          <w:sz w:val="32"/>
          <w:szCs w:val="32"/>
        </w:rPr>
        <w:t>发</w:t>
      </w:r>
      <w:r>
        <w:rPr>
          <w:rFonts w:ascii="仿宋_GB2312" w:eastAsia="仿宋_GB2312" w:hAnsi="仿宋_GB2312" w:cs="仿宋_GB2312" w:hint="eastAsia"/>
          <w:bCs/>
          <w:sz w:val="32"/>
          <w:szCs w:val="32"/>
        </w:rPr>
        <w:t>出社会治理类检察建议书5份、纠正违法类检察建议书1份，均被采纳，向市院一部报送典型案例2件。</w:t>
      </w:r>
    </w:p>
    <w:p>
      <w:pPr>
        <w:ind w:leftChars="50" w:left="105" w:firstLine="643"/>
        <w:rPr>
          <w:rFonts w:ascii="仿宋_GB2312" w:eastAsia="仿宋_GB2312" w:hAnsi="仿宋_GB2312" w:cs="仿宋_GB2312"/>
          <w:bCs/>
          <w:sz w:val="32"/>
          <w:szCs w:val="32"/>
        </w:rPr>
      </w:pPr>
      <w:r>
        <w:rPr>
          <w:rFonts w:ascii="仿宋_GB2312" w:eastAsia="仿宋_GB2312" w:hAnsi="仿宋_GB2312" w:cs="仿宋_GB2312"/>
          <w:b/>
          <w:bCs/>
          <w:color w:val="333333"/>
          <w:sz w:val="32"/>
          <w:szCs w:val="32"/>
        </w:rPr>
        <w:t>3.</w:t>
      </w:r>
      <w:r>
        <w:rPr>
          <w:rFonts w:ascii="仿宋_GB2312" w:eastAsia="仿宋_GB2312" w:hAnsi="仿宋_GB2312" w:cs="仿宋_GB2312" w:hint="eastAsia"/>
          <w:b/>
          <w:bCs/>
          <w:color w:val="333333"/>
          <w:sz w:val="32"/>
          <w:szCs w:val="32"/>
        </w:rPr>
        <w:t>依托“检察+网格”积极化解社会矛盾。</w:t>
      </w:r>
      <w:r>
        <w:rPr>
          <w:rFonts w:ascii="仿宋_GB2312" w:eastAsia="仿宋_GB2312" w:hAnsi="仿宋_GB2312" w:cs="仿宋_GB2312" w:hint="eastAsia"/>
          <w:bCs/>
          <w:sz w:val="32"/>
          <w:szCs w:val="32"/>
        </w:rPr>
        <w:t>截止至目前，召开听证31件次，针对今年长兴岛地区环资类案件多发的情况，邀请社区工作者参与召开了“环资案件”专场听证会，达到了法治教育和依法办案并重的目的，彰显了检察机关的公信力。办理的李文举涉访刑事案件，李文举因未获得土地动迁征地补偿款，自2015年开始连续多年越级到北京国家信访局缠访、闹访，期间多次被公安机关给予治安处罚。办案检察官以包容式理解、换位式沟通，化解了“二十年的陈年积怨”。仅用15天即顺利办结此案，实现了案结事了，取得了较好的办案效果。</w:t>
      </w:r>
    </w:p>
    <w:p>
      <w:pPr>
        <w:ind w:leftChars="50" w:left="105" w:firstLineChars="200" w:firstLine="640"/>
        <w:rPr>
          <w:rFonts w:ascii="仿宋_GB2312" w:eastAsia="仿宋_GB2312" w:hAnsi="仿宋_GB2312" w:cs="仿宋_GB2312"/>
          <w:bCs/>
          <w:sz w:val="32"/>
          <w:szCs w:val="32"/>
        </w:rPr>
      </w:pPr>
      <w:r>
        <w:rPr>
          <w:rFonts w:ascii="楷体" w:eastAsia="楷体" w:hAnsi="楷体" w:cs="仿宋" w:hint="eastAsia"/>
          <w:bCs/>
          <w:sz w:val="32"/>
          <w:szCs w:val="32"/>
        </w:rPr>
        <w:t>（二）民事检察工作。</w:t>
      </w:r>
      <w:r>
        <w:rPr>
          <w:rFonts w:ascii="仿宋_GB2312" w:eastAsia="仿宋_GB2312" w:hAnsi="仿宋_GB2312" w:cs="仿宋_GB2312" w:hint="eastAsia"/>
          <w:bCs/>
          <w:sz w:val="32"/>
          <w:szCs w:val="32"/>
        </w:rPr>
        <w:t>2024年办理民事生效判决、裁定、调解书监督案件共4件，其中提请抗诉3件，加上上年度5件未出判决结果的案件，今年共有8件裁判结果监督案件,在办案过程中发现6件公积金虚假执行案件线索，市院在此基础上排查出120余件同类别案件线索，解决了大连全地区虚假诉讼案件线索不足的问题。经市院协调分配，办理公积金虚假诉讼案件6件，已经交由旅顺检察院统一录入并向旅顺口区人民法院发出检察建议6件。在审违执行监督及支持起诉工作中，办理民事审判程序、违法行为监督案件5件，提出检察建议5件，民事审判违法监督检察建议采纳率为100%。办理民事支持起诉案件10件，法院已经全部采纳。办理民事执行活动监督案件12件，其中提出检察建议9件，促成和解3件，民事执行监督检察建议采纳率为100%。民事裁判案件监督改变率达到65%。</w:t>
      </w:r>
    </w:p>
    <w:p>
      <w:pPr>
        <w:spacing w:line="560" w:lineRule="exact"/>
        <w:ind w:firstLineChars="200" w:firstLine="640"/>
        <w:rPr>
          <w:rFonts w:ascii="仿宋_GB2312" w:eastAsia="仿宋_GB2312" w:hAnsi="仿宋_GB2312" w:cs="仿宋_GB2312"/>
          <w:bCs/>
          <w:sz w:val="32"/>
          <w:szCs w:val="32"/>
        </w:rPr>
      </w:pPr>
      <w:r>
        <w:rPr>
          <w:rFonts w:ascii="楷体" w:eastAsia="楷体" w:hAnsi="楷体" w:cs="仿宋" w:hint="eastAsia"/>
          <w:bCs/>
          <w:sz w:val="32"/>
          <w:szCs w:val="32"/>
        </w:rPr>
        <w:t>（三）行政检察工作。</w:t>
      </w:r>
      <w:r>
        <w:rPr>
          <w:rFonts w:ascii="仿宋_GB2312" w:eastAsia="仿宋_GB2312" w:hAnsi="仿宋_GB2312" w:cs="仿宋_GB2312" w:hint="eastAsia"/>
          <w:bCs/>
          <w:sz w:val="32"/>
          <w:szCs w:val="32"/>
        </w:rPr>
        <w:t>一是行政非诉执行案件：办理行政非诉执行活动监督案件9件（其中系统外2件），向法院提出行政非诉执行监督检察建议6件，行政执行监督检察建议采纳率为100%。二是行政违法监督及行刑反向衔接案件：提出纠正违法检察建议10件，行政机关均采纳回复；办理行刑反向衔接案件14件，提出检察意见5份，对刑事检察部门提出需要给予行政处罚意见的案件，向行政机关提出检察意见率为100%。三是实质性化解行政争议案件：办理系统外行政非诉执行化解案件2件，系统内行政非诉执行化解1件。两级院一体化办理吉林银行实质性化解行政争议案件17件，已经完成案件基数。</w:t>
      </w:r>
    </w:p>
    <w:p>
      <w:pPr>
        <w:spacing w:line="560" w:lineRule="exact"/>
        <w:ind w:firstLineChars="200" w:firstLine="640"/>
        <w:rPr>
          <w:rFonts w:ascii="仿宋_GB2312" w:eastAsia="仿宋_GB2312" w:hAnsi="仿宋_GB2312" w:cs="仿宋_GB2312"/>
          <w:bCs/>
          <w:sz w:val="32"/>
          <w:szCs w:val="32"/>
        </w:rPr>
      </w:pPr>
      <w:r>
        <w:rPr>
          <w:rFonts w:ascii="楷体" w:eastAsia="楷体" w:hAnsi="楷体" w:cs="仿宋" w:hint="eastAsia"/>
          <w:bCs/>
          <w:sz w:val="32"/>
          <w:szCs w:val="32"/>
        </w:rPr>
        <w:t>（四）公益诉讼检察工作。</w:t>
      </w:r>
      <w:r>
        <w:rPr>
          <w:rFonts w:ascii="仿宋_GB2312" w:eastAsia="仿宋_GB2312" w:hAnsi="仿宋_GB2312" w:cs="仿宋_GB2312" w:hint="eastAsia"/>
          <w:bCs/>
          <w:sz w:val="32"/>
          <w:szCs w:val="32"/>
        </w:rPr>
        <w:t>行政公益诉讼立案57件（基数58件），磋商结案6件，提出诉前检察建议49件，公益诉讼办案领域涵盖了生态环境保护、食品药品安全、国有财产保护、安全生产、</w:t>
      </w:r>
      <w:r>
        <w:rPr>
          <w:rFonts w:ascii="仿宋_GB2312" w:eastAsia="仿宋_GB2312" w:hAnsi="仿宋_GB2312" w:cs="仿宋_GB2312"/>
          <w:bCs/>
          <w:sz w:val="32"/>
          <w:szCs w:val="32"/>
        </w:rPr>
        <w:t>国有土地使用权出让</w:t>
      </w:r>
      <w:r>
        <w:rPr>
          <w:rFonts w:ascii="仿宋_GB2312" w:eastAsia="仿宋_GB2312" w:hAnsi="仿宋_GB2312" w:cs="仿宋_GB2312" w:hint="eastAsia"/>
          <w:bCs/>
          <w:sz w:val="32"/>
          <w:szCs w:val="32"/>
        </w:rPr>
        <w:t>等</w:t>
      </w:r>
      <w:r>
        <w:rPr>
          <w:rFonts w:ascii="仿宋_GB2312" w:eastAsia="仿宋_GB2312" w:hAnsi="仿宋_GB2312" w:cs="仿宋_GB2312"/>
          <w:bCs/>
          <w:sz w:val="32"/>
          <w:szCs w:val="32"/>
        </w:rPr>
        <w:t>领域</w:t>
      </w:r>
      <w:r>
        <w:rPr>
          <w:rFonts w:ascii="仿宋_GB2312" w:eastAsia="仿宋_GB2312" w:hAnsi="仿宋_GB2312" w:cs="仿宋_GB2312" w:hint="eastAsia"/>
          <w:bCs/>
          <w:sz w:val="32"/>
          <w:szCs w:val="32"/>
        </w:rPr>
        <w:t>，已完成考评指标中的重点领域办案要求。移送瓦房店检察院起诉2件，提起公益诉讼后法院支持率为100%，诉前整改率为100%。</w:t>
      </w:r>
    </w:p>
    <w:p>
      <w:pPr>
        <w:ind w:firstLineChars="200" w:firstLine="640"/>
      </w:pPr>
      <w:r>
        <w:rPr>
          <w:rFonts w:ascii="楷体" w:eastAsia="楷体" w:hAnsi="楷体" w:cs="仿宋" w:hint="eastAsia"/>
          <w:bCs/>
          <w:sz w:val="32"/>
          <w:szCs w:val="32"/>
        </w:rPr>
        <w:t>（五）全面</w:t>
      </w:r>
      <w:r>
        <w:rPr>
          <w:rFonts w:ascii="楷体" w:eastAsia="楷体" w:hAnsi="楷体" w:cs="仿宋"/>
          <w:bCs/>
          <w:sz w:val="32"/>
          <w:szCs w:val="32"/>
        </w:rPr>
        <w:t>加强检察队伍建设。</w:t>
      </w:r>
      <w:r>
        <w:rPr>
          <w:rFonts w:ascii="仿宋_GB2312" w:eastAsia="仿宋_GB2312" w:hAnsi="仿宋_GB2312" w:cs="仿宋_GB2312" w:hint="eastAsia"/>
          <w:bCs/>
          <w:sz w:val="32"/>
          <w:szCs w:val="32"/>
        </w:rPr>
        <w:t>在大检察官研讨班结束后，组织全体干警进行集中学习，组织研讨，深刻领会精神实质。认真传达研讨班的重要讲话和指示精神。通过深入学习和热烈讨论，全体干警深刻认识到新时代检察工作面临的新形势、新任务和新要求，进一步增强了责任感和使命感，明确了工作方向和重点,为</w:t>
      </w:r>
      <w:r>
        <w:rPr>
          <w:rFonts w:ascii="仿宋_GB2312" w:eastAsia="仿宋_GB2312" w:hAnsi="仿宋_GB2312" w:cs="仿宋_GB2312"/>
          <w:bCs/>
          <w:sz w:val="32"/>
          <w:szCs w:val="32"/>
        </w:rPr>
        <w:t>干警</w:t>
      </w:r>
      <w:r>
        <w:rPr>
          <w:rFonts w:ascii="仿宋_GB2312" w:eastAsia="仿宋_GB2312" w:hAnsi="仿宋_GB2312" w:cs="仿宋_GB2312" w:hint="eastAsia"/>
          <w:bCs/>
          <w:sz w:val="32"/>
          <w:szCs w:val="32"/>
        </w:rPr>
        <w:t>队伍</w:t>
      </w:r>
      <w:r>
        <w:rPr>
          <w:rFonts w:ascii="仿宋_GB2312" w:eastAsia="仿宋_GB2312" w:hAnsi="仿宋_GB2312" w:cs="仿宋_GB2312"/>
          <w:bCs/>
          <w:sz w:val="32"/>
          <w:szCs w:val="32"/>
        </w:rPr>
        <w:t>建设奠定了坚实的思想基础</w:t>
      </w:r>
      <w:r>
        <w:rPr>
          <w:rFonts w:ascii="仿宋_GB2312" w:eastAsia="仿宋_GB2312" w:hAnsi="仿宋_GB2312" w:cs="仿宋_GB2312" w:hint="eastAsia"/>
          <w:bCs/>
          <w:sz w:val="32"/>
          <w:szCs w:val="32"/>
        </w:rPr>
        <w:t>。</w:t>
      </w:r>
    </w:p>
    <w:p>
      <w:pPr>
        <w:tabs>
          <w:tab w:val="left" w:pos="7605"/>
        </w:tabs>
        <w:ind w:firstLineChars="200" w:firstLine="640"/>
        <w:rPr>
          <w:rFonts w:ascii="黑体" w:eastAsia="黑体" w:hAnsi="黑体"/>
        </w:rPr>
      </w:pPr>
      <w:r>
        <w:rPr>
          <w:rFonts w:ascii="黑体" w:eastAsia="黑体" w:hAnsi="黑体" w:cs="仿宋" w:hint="eastAsia"/>
          <w:bCs/>
          <w:sz w:val="32"/>
          <w:szCs w:val="32"/>
        </w:rPr>
        <w:t>二</w:t>
      </w:r>
      <w:r>
        <w:rPr>
          <w:rFonts w:ascii="黑体" w:eastAsia="黑体" w:hAnsi="黑体" w:cs="仿宋"/>
          <w:bCs/>
          <w:sz w:val="32"/>
          <w:szCs w:val="32"/>
        </w:rPr>
        <w:t>、</w:t>
      </w:r>
      <w:r>
        <w:rPr>
          <w:rFonts w:ascii="黑体" w:eastAsia="黑体" w:hAnsi="黑体" w:cs="仿宋" w:hint="eastAsia"/>
          <w:bCs/>
          <w:sz w:val="32"/>
          <w:szCs w:val="32"/>
        </w:rPr>
        <w:t>亮点</w:t>
      </w:r>
      <w:r>
        <w:rPr>
          <w:rFonts w:ascii="黑体" w:eastAsia="黑体" w:hAnsi="黑体" w:cs="仿宋"/>
          <w:bCs/>
          <w:sz w:val="32"/>
          <w:szCs w:val="32"/>
        </w:rPr>
        <w:t>工作</w:t>
      </w:r>
      <w:r>
        <w:rPr>
          <w:rFonts w:ascii="黑体" w:eastAsia="黑体" w:hAnsi="黑体" w:cs="仿宋" w:hint="eastAsia"/>
          <w:bCs/>
          <w:sz w:val="32"/>
          <w:szCs w:val="32"/>
        </w:rPr>
        <w:t>及</w:t>
      </w:r>
      <w:r>
        <w:rPr>
          <w:rFonts w:ascii="黑体" w:eastAsia="黑体" w:hAnsi="黑体" w:cs="仿宋"/>
          <w:bCs/>
          <w:sz w:val="32"/>
          <w:szCs w:val="32"/>
        </w:rPr>
        <w:t>做法</w:t>
      </w:r>
    </w:p>
    <w:p>
      <w:pPr>
        <w:rPr>
          <w:rFonts w:ascii="楷体" w:eastAsia="楷体" w:hAnsi="楷体"/>
        </w:rPr>
      </w:pPr>
      <w:r>
        <w:rPr>
          <w:rFonts w:ascii="楷体" w:eastAsia="楷体" w:hAnsi="楷体" w:cs="仿宋" w:hint="eastAsia"/>
          <w:bCs/>
          <w:sz w:val="32"/>
          <w:szCs w:val="32"/>
        </w:rPr>
        <w:t>（一）以“检察护企”和“检护民生”为</w:t>
      </w:r>
      <w:r>
        <w:rPr>
          <w:rFonts w:ascii="楷体" w:eastAsia="楷体" w:hAnsi="楷体" w:cs="仿宋"/>
          <w:bCs/>
          <w:sz w:val="32"/>
          <w:szCs w:val="32"/>
        </w:rPr>
        <w:t>抓手</w:t>
      </w:r>
      <w:r>
        <w:rPr>
          <w:rFonts w:ascii="楷体" w:eastAsia="楷体" w:hAnsi="楷体" w:cs="仿宋" w:hint="eastAsia"/>
          <w:bCs/>
          <w:sz w:val="32"/>
          <w:szCs w:val="32"/>
        </w:rPr>
        <w:t>，为企业撑腰，加强</w:t>
      </w:r>
      <w:r>
        <w:rPr>
          <w:rFonts w:ascii="楷体" w:eastAsia="楷体" w:hAnsi="楷体" w:cs="仿宋"/>
          <w:bCs/>
          <w:sz w:val="32"/>
          <w:szCs w:val="32"/>
        </w:rPr>
        <w:t>检企共建。</w:t>
      </w:r>
    </w:p>
    <w:p>
      <w:pPr>
        <w:tabs>
          <w:tab w:val="center" w:pos="4474"/>
        </w:tabs>
        <w:ind w:firstLine="643"/>
        <w:rPr>
          <w:rFonts w:ascii="仿宋_GB2312" w:eastAsia="仿宋_GB2312" w:hAnsi="仿宋_GB2312" w:cs="仿宋_GB2312"/>
          <w:bCs/>
          <w:sz w:val="32"/>
          <w:szCs w:val="32"/>
        </w:rPr>
      </w:pPr>
      <w:r>
        <w:rPr>
          <w:rFonts w:ascii="楷体" w:eastAsia="楷体" w:hAnsi="楷体" w:cs="仿宋" w:hint="eastAsia"/>
          <w:bCs/>
          <w:sz w:val="32"/>
          <w:szCs w:val="32"/>
        </w:rPr>
        <w:t>1.配合与</w:t>
      </w:r>
      <w:r>
        <w:rPr>
          <w:rFonts w:ascii="楷体" w:eastAsia="楷体" w:hAnsi="楷体" w:cs="仿宋"/>
          <w:bCs/>
          <w:sz w:val="32"/>
          <w:szCs w:val="32"/>
        </w:rPr>
        <w:t>共建</w:t>
      </w:r>
      <w:r>
        <w:rPr>
          <w:rFonts w:ascii="楷体" w:eastAsia="楷体" w:hAnsi="楷体" w:cs="仿宋" w:hint="eastAsia"/>
          <w:bCs/>
          <w:sz w:val="32"/>
          <w:szCs w:val="32"/>
        </w:rPr>
        <w:t>。</w:t>
      </w:r>
      <w:r>
        <w:rPr>
          <w:rFonts w:ascii="仿宋_GB2312" w:eastAsia="仿宋_GB2312" w:hAnsi="仿宋_GB2312" w:cs="仿宋_GB2312" w:hint="eastAsia"/>
          <w:bCs/>
          <w:sz w:val="32"/>
          <w:szCs w:val="32"/>
        </w:rPr>
        <w:t>一</w:t>
      </w:r>
      <w:r>
        <w:rPr>
          <w:rFonts w:ascii="仿宋_GB2312" w:eastAsia="仿宋_GB2312" w:hAnsi="仿宋_GB2312" w:cs="仿宋_GB2312"/>
          <w:bCs/>
          <w:sz w:val="32"/>
          <w:szCs w:val="32"/>
        </w:rPr>
        <w:t>是</w:t>
      </w:r>
      <w:r>
        <w:rPr>
          <w:rFonts w:ascii="仿宋_GB2312" w:eastAsia="仿宋_GB2312" w:hAnsi="仿宋_GB2312" w:cs="仿宋_GB2312" w:hint="eastAsia"/>
          <w:bCs/>
          <w:sz w:val="32"/>
          <w:szCs w:val="32"/>
        </w:rPr>
        <w:t>区检配合，形成整体工作合力。与区应急管理局等</w:t>
      </w:r>
      <w:r>
        <w:rPr>
          <w:rFonts w:ascii="仿宋_GB2312" w:eastAsia="仿宋_GB2312" w:hAnsi="仿宋_GB2312" w:cs="仿宋_GB2312"/>
          <w:bCs/>
          <w:sz w:val="32"/>
          <w:szCs w:val="32"/>
        </w:rPr>
        <w:t>11</w:t>
      </w:r>
      <w:r>
        <w:rPr>
          <w:rFonts w:ascii="仿宋_GB2312" w:eastAsia="仿宋_GB2312" w:hAnsi="仿宋_GB2312" w:cs="仿宋_GB2312" w:hint="eastAsia"/>
          <w:bCs/>
          <w:sz w:val="32"/>
          <w:szCs w:val="32"/>
        </w:rPr>
        <w:t>个部门签署《关于协同推进安全生产溯源治理的意见》，约定了信息共享、联席会议、办案协作等相关内容，完善了安全生产诉源治理等社会公共利益的司法保护机制。二</w:t>
      </w:r>
      <w:r>
        <w:rPr>
          <w:rFonts w:ascii="仿宋_GB2312" w:eastAsia="仿宋_GB2312" w:hAnsi="仿宋_GB2312" w:cs="仿宋_GB2312"/>
          <w:bCs/>
          <w:sz w:val="32"/>
          <w:szCs w:val="32"/>
        </w:rPr>
        <w:t>是</w:t>
      </w:r>
      <w:r>
        <w:rPr>
          <w:rFonts w:ascii="仿宋_GB2312" w:eastAsia="仿宋_GB2312" w:hAnsi="仿宋_GB2312" w:cs="仿宋_GB2312" w:hint="eastAsia"/>
          <w:bCs/>
          <w:sz w:val="32"/>
          <w:szCs w:val="32"/>
        </w:rPr>
        <w:t>加强检企共建，共同发展。针对企业的实际经营状况与需求，分别与恒力石化（大连）有限公司等石化企业签署了《关于加强检企共建促进绿色石化的工作方案》，为全力打造“世界级、高科技、一体化”绿色石化基地提供坚强法治保障。三是做好延伸服务，围绕石化产业创新发展等方面的突出问题，联合开展专题调研，对发现的问题合力推动整改，形成检企之间相互支持配合的工作机制，提升整体工作成效。四是开展“检察护企”专项行动，通过“合规护企”、“清挂护企”“送法护企”等多措并举推进检察护企走深走实，上半年，共办结企业合规案件2件。五是加强涉企案件的法律监督，及时介入涉企案件侦查活动，成功监督一起以刑事手段插手经济纠纷的涉企案件，公安机关予以撤案处理。六是做好按需送法服务，以企业需求为导向“定向送法”，举办“道路交通安全”专题讲座1次，针对一起涉企案件反映出企业存在的管理漏洞和潜在法律风险发出《检察建议书》1份，督促涉案公司进行了整改。同时</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贯彻落实市委将大连长兴岛打造成“世界一流绿色石化产业基地”的战略部署，创新工作实践，以“检察蓝”全力护航“绿色石化”</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起草并推动长兴岛</w:t>
      </w:r>
      <w:r>
        <w:rPr>
          <w:rFonts w:ascii="仿宋_GB2312" w:eastAsia="仿宋_GB2312" w:hAnsi="仿宋_GB2312" w:cs="仿宋_GB2312"/>
          <w:bCs/>
          <w:sz w:val="32"/>
          <w:szCs w:val="32"/>
        </w:rPr>
        <w:t>检察</w:t>
      </w:r>
      <w:r>
        <w:rPr>
          <w:rFonts w:ascii="仿宋_GB2312" w:eastAsia="仿宋_GB2312" w:hAnsi="仿宋_GB2312" w:cs="仿宋_GB2312" w:hint="eastAsia"/>
          <w:bCs/>
          <w:sz w:val="32"/>
          <w:szCs w:val="32"/>
        </w:rPr>
        <w:t>院与区应急管理局等11个部门签署《关于协同推进安全生产溯源治理的意见》，约定了信息共享、联席会议、办案协作等内容，进一步完善了安全生产诉源治理等社会公共利益的司法保护机制。针对不同企业的实际经营状况与需求，分别起草并推动本院与这些公司签署了《关于加强检企共建促进绿色石化的工作方案》，为全力打造“世界级、高科技、一体化”绿色石化基地提供坚强法治保障。</w:t>
      </w:r>
    </w:p>
    <w:p>
      <w:pPr>
        <w:widowControl/>
        <w:autoSpaceDE w:val="0"/>
        <w:autoSpaceDN w:val="0"/>
        <w:adjustRightInd w:val="0"/>
        <w:spacing w:line="560" w:lineRule="exact"/>
        <w:ind w:firstLine="643"/>
        <w:textAlignment w:val="baseline"/>
        <w:rPr>
          <w:rFonts w:ascii="仿宋_GB2312" w:eastAsia="仿宋_GB2312" w:hAnsi="仿宋_GB2312" w:cs="仿宋_GB2312"/>
          <w:bCs/>
          <w:sz w:val="32"/>
          <w:szCs w:val="32"/>
        </w:rPr>
      </w:pPr>
      <w:r>
        <w:rPr>
          <w:rFonts w:ascii="楷体" w:eastAsia="楷体" w:hAnsi="楷体" w:cs="仿宋" w:hint="eastAsia"/>
          <w:bCs/>
          <w:sz w:val="32"/>
          <w:szCs w:val="32"/>
        </w:rPr>
        <w:t>2.“检察+调研”工作。</w:t>
      </w:r>
      <w:r>
        <w:rPr>
          <w:rFonts w:ascii="仿宋_GB2312" w:eastAsia="仿宋_GB2312" w:hAnsi="仿宋_GB2312" w:cs="仿宋_GB2312" w:hint="eastAsia"/>
          <w:bCs/>
          <w:sz w:val="32"/>
          <w:szCs w:val="32"/>
        </w:rPr>
        <w:t>以习近平新时代中国特色社会主义思想为指导，牢牢把握“为大局服务、为人民司法”的工作思路，始终以高度的政治自觉、法治自觉、检察自觉服务保障长兴岛经济区“二次创业，再次腾飞”中心大局，深入探索“检察+调研”工作。为有效防范化解安全风险，守护长兴岛经济区人民群众生命财产安全，就电动自行车消防安全隐患情况开展调研，一方面形成《关于我区电动自行车消防安全的调研报告》呈报区管委会，得到区管委会的高度重视；另一方面积极开展电动自行车消防安全调查取证，进行行政公益诉讼案件办理，现已对4个相关行政机关发出诉前检察建议。“检察+调研”工作模式取得良好效果。</w:t>
      </w:r>
    </w:p>
    <w:p>
      <w:pPr>
        <w:widowControl/>
        <w:kinsoku w:val="0"/>
        <w:autoSpaceDE w:val="0"/>
        <w:autoSpaceDN w:val="0"/>
        <w:adjustRightInd w:val="0"/>
        <w:snapToGrid w:val="0"/>
        <w:spacing w:line="560" w:lineRule="exact"/>
        <w:ind w:firstLine="643"/>
        <w:textAlignment w:val="baseline"/>
        <w:rPr>
          <w:rFonts w:ascii="仿宋_GB2312" w:eastAsia="仿宋_GB2312" w:hAnsi="仿宋_GB2312" w:cs="仿宋_GB2312"/>
          <w:bCs/>
          <w:sz w:val="32"/>
          <w:szCs w:val="32"/>
        </w:rPr>
      </w:pPr>
      <w:r>
        <w:rPr>
          <w:rFonts w:ascii="楷体" w:eastAsia="楷体" w:hAnsi="楷体" w:cs="仿宋"/>
          <w:bCs/>
          <w:sz w:val="32"/>
          <w:szCs w:val="32"/>
        </w:rPr>
        <w:t>3.</w:t>
      </w:r>
      <w:r>
        <w:rPr>
          <w:rFonts w:ascii="楷体" w:eastAsia="楷体" w:hAnsi="楷体" w:cs="仿宋" w:hint="eastAsia"/>
          <w:bCs/>
          <w:sz w:val="32"/>
          <w:szCs w:val="32"/>
        </w:rPr>
        <w:t>探索“检公协作+数字检察”工作模式，通过公益诉讼检察工作助推地区综合治理。</w:t>
      </w:r>
      <w:r>
        <w:rPr>
          <w:rFonts w:ascii="仿宋_GB2312" w:eastAsia="仿宋_GB2312" w:hAnsi="仿宋_GB2312" w:cs="仿宋_GB2312" w:hint="eastAsia"/>
          <w:bCs/>
          <w:sz w:val="32"/>
          <w:szCs w:val="32"/>
        </w:rPr>
        <w:t>针对国有企业资产流失问题，立足公益诉讼职能，采取多种方式推动瓶颈问题解决，探索国有资产保护领域“检公协作+数字检察”办案模式，通过“检公协作”建立“国有企业外雇车辆数字检察模型”，并依托模型大数据排查结果，制发公益诉讼检察建议督促行政机关履行监管职责，并向案涉相关的国有企业制发3件社会类检察建议，同时形成专题调研报告层报属地政府，为属地政府决策提供检察支撑，并将履职中发现的职务犯罪线索移交纪检监察部门，形成国有资产保护合力。案件的办理，不仅为检察机关服务良好营商环境，引导企业健康发展，保护国有财产奠定了基础，而且打造了检察机关与公安机关在国有财产领域的协作样本，更通过真实案例彰显了检察机关保护国有财产的政治担当和检察自觉。</w:t>
      </w:r>
    </w:p>
    <w:p>
      <w:pPr>
        <w:rPr>
          <w:rFonts w:ascii="楷体" w:eastAsia="楷体" w:hAnsi="楷体" w:cs="仿宋"/>
          <w:bCs/>
          <w:sz w:val="32"/>
          <w:szCs w:val="32"/>
        </w:rPr>
      </w:pPr>
      <w:r>
        <w:rPr>
          <w:rFonts w:ascii="楷体" w:eastAsia="楷体" w:hAnsi="楷体" w:cs="仿宋" w:hint="eastAsia"/>
          <w:bCs/>
          <w:sz w:val="32"/>
          <w:szCs w:val="32"/>
        </w:rPr>
        <w:t>（二）创新检察工作模式，以新时代检察思维助力公益诉讼纵横发展。</w:t>
      </w:r>
    </w:p>
    <w:p>
      <w:pPr>
        <w:spacing w:line="560" w:lineRule="exact"/>
        <w:ind w:firstLine="643"/>
        <w:rPr>
          <w:rFonts w:ascii="仿宋_GB2312" w:eastAsia="仿宋_GB2312" w:hAnsi="仿宋_GB2312" w:cs="仿宋_GB2312"/>
          <w:bCs/>
          <w:sz w:val="32"/>
          <w:szCs w:val="32"/>
        </w:rPr>
      </w:pPr>
      <w:r>
        <w:rPr>
          <w:rFonts w:ascii="楷体" w:eastAsia="楷体" w:hAnsi="楷体" w:cs="仿宋" w:hint="eastAsia"/>
          <w:bCs/>
          <w:sz w:val="32"/>
          <w:szCs w:val="32"/>
        </w:rPr>
        <w:t>1.创新工作实践，以“检察蓝”护航“绿色石化”。</w:t>
      </w:r>
      <w:r>
        <w:rPr>
          <w:rFonts w:ascii="仿宋_GB2312" w:eastAsia="仿宋_GB2312" w:hAnsi="仿宋_GB2312" w:cs="仿宋_GB2312" w:hint="eastAsia"/>
          <w:bCs/>
          <w:sz w:val="32"/>
          <w:szCs w:val="32"/>
        </w:rPr>
        <w:t>一是府检配合，形成整体工作合力。二是检企共建，互助互促共同发展。三是特邀石化相关部门企业人员担任检察官助理。为了更好地履行检察职责，长兴岛</w:t>
      </w:r>
      <w:r>
        <w:rPr>
          <w:rFonts w:ascii="仿宋_GB2312" w:eastAsia="仿宋_GB2312" w:hAnsi="仿宋_GB2312" w:cs="仿宋_GB2312"/>
          <w:bCs/>
          <w:sz w:val="32"/>
          <w:szCs w:val="32"/>
        </w:rPr>
        <w:t>检察</w:t>
      </w:r>
      <w:r>
        <w:rPr>
          <w:rFonts w:ascii="仿宋_GB2312" w:eastAsia="仿宋_GB2312" w:hAnsi="仿宋_GB2312" w:cs="仿宋_GB2312" w:hint="eastAsia"/>
          <w:bCs/>
          <w:sz w:val="32"/>
          <w:szCs w:val="32"/>
        </w:rPr>
        <w:t>院积极探索创新，引入外脑智库，特邀来自应急管理、生态环境、石化企业的12位从事石化领域的专业人士担任检察官助理，为检察工作注入了新的活力和智慧。</w:t>
      </w:r>
    </w:p>
    <w:p>
      <w:pPr>
        <w:spacing w:line="560" w:lineRule="exact"/>
        <w:ind w:firstLine="643"/>
        <w:rPr>
          <w:rFonts w:ascii="仿宋_GB2312" w:eastAsia="仿宋_GB2312" w:hAnsi="仿宋_GB2312" w:cs="仿宋_GB2312"/>
          <w:bCs/>
          <w:sz w:val="32"/>
          <w:szCs w:val="32"/>
        </w:rPr>
      </w:pPr>
      <w:r>
        <w:rPr>
          <w:rFonts w:ascii="楷体" w:eastAsia="楷体" w:hAnsi="楷体" w:cs="仿宋" w:hint="eastAsia"/>
          <w:bCs/>
          <w:sz w:val="32"/>
          <w:szCs w:val="32"/>
        </w:rPr>
        <w:t>2.以“检察+调研”工作模式，践行“检护民生”专项活动。</w:t>
      </w:r>
      <w:r>
        <w:rPr>
          <w:rFonts w:ascii="仿宋_GB2312" w:eastAsia="仿宋_GB2312" w:hAnsi="仿宋_GB2312" w:cs="仿宋_GB2312" w:hint="eastAsia"/>
          <w:bCs/>
          <w:sz w:val="32"/>
          <w:szCs w:val="32"/>
        </w:rPr>
        <w:t>继续以</w:t>
      </w:r>
      <w:r>
        <w:rPr>
          <w:rFonts w:ascii="仿宋_GB2312" w:eastAsia="仿宋_GB2312" w:hAnsi="仿宋_GB2312" w:cs="仿宋_GB2312"/>
          <w:bCs/>
          <w:sz w:val="32"/>
          <w:szCs w:val="32"/>
        </w:rPr>
        <w:t>习近平</w:t>
      </w:r>
      <w:r>
        <w:rPr>
          <w:rFonts w:ascii="仿宋_GB2312" w:eastAsia="仿宋_GB2312" w:hAnsi="仿宋_GB2312" w:cs="仿宋_GB2312" w:hint="eastAsia"/>
          <w:bCs/>
          <w:sz w:val="32"/>
          <w:szCs w:val="32"/>
        </w:rPr>
        <w:t>法治</w:t>
      </w:r>
      <w:r>
        <w:rPr>
          <w:rFonts w:ascii="仿宋_GB2312" w:eastAsia="仿宋_GB2312" w:hAnsi="仿宋_GB2312" w:cs="仿宋_GB2312"/>
          <w:bCs/>
          <w:sz w:val="32"/>
          <w:szCs w:val="32"/>
        </w:rPr>
        <w:t>思想为指导，</w:t>
      </w:r>
      <w:r>
        <w:rPr>
          <w:rFonts w:ascii="仿宋_GB2312" w:eastAsia="仿宋_GB2312" w:hAnsi="仿宋_GB2312" w:cs="仿宋_GB2312" w:hint="eastAsia"/>
          <w:bCs/>
          <w:sz w:val="32"/>
          <w:szCs w:val="32"/>
        </w:rPr>
        <w:t>以“检护民生”专项工作为着力点，</w:t>
      </w:r>
      <w:r>
        <w:rPr>
          <w:rFonts w:ascii="仿宋_GB2312" w:eastAsia="仿宋_GB2312" w:hAnsi="仿宋_GB2312" w:cs="仿宋_GB2312"/>
          <w:bCs/>
          <w:sz w:val="32"/>
          <w:szCs w:val="32"/>
        </w:rPr>
        <w:t>牢牢把握“为大局服务、为人民司法”的工作思路，始终以高度的政治自觉、法治自觉、检察自觉服务保障长兴岛经济区“二次创业，再次腾飞”中心大局，</w:t>
      </w:r>
      <w:r>
        <w:rPr>
          <w:rFonts w:ascii="仿宋_GB2312" w:eastAsia="仿宋_GB2312" w:hAnsi="仿宋_GB2312" w:cs="仿宋_GB2312" w:hint="eastAsia"/>
          <w:bCs/>
          <w:sz w:val="32"/>
          <w:szCs w:val="32"/>
        </w:rPr>
        <w:t>深入</w:t>
      </w:r>
      <w:r>
        <w:rPr>
          <w:rFonts w:ascii="仿宋_GB2312" w:eastAsia="仿宋_GB2312" w:hAnsi="仿宋_GB2312" w:cs="仿宋_GB2312"/>
          <w:bCs/>
          <w:sz w:val="32"/>
          <w:szCs w:val="32"/>
        </w:rPr>
        <w:t>探索“检察+调研”工作</w:t>
      </w:r>
      <w:r>
        <w:rPr>
          <w:rFonts w:ascii="仿宋_GB2312" w:eastAsia="仿宋_GB2312" w:hAnsi="仿宋_GB2312" w:cs="仿宋_GB2312" w:hint="eastAsia"/>
          <w:bCs/>
          <w:sz w:val="32"/>
          <w:szCs w:val="32"/>
        </w:rPr>
        <w:t>。 “检察+调研”工作模式在维护社会公共利益、践行“检护民生”方面取得良好效果。</w:t>
      </w:r>
    </w:p>
    <w:p>
      <w:pPr>
        <w:widowControl/>
        <w:kinsoku w:val="0"/>
        <w:autoSpaceDE w:val="0"/>
        <w:autoSpaceDN w:val="0"/>
        <w:adjustRightInd w:val="0"/>
        <w:snapToGrid w:val="0"/>
        <w:spacing w:line="560" w:lineRule="exact"/>
        <w:ind w:firstLine="643"/>
        <w:textAlignment w:val="baseline"/>
        <w:rPr>
          <w:rFonts w:ascii="仿宋_GB2312" w:eastAsia="仿宋_GB2312" w:hAnsi="仿宋_GB2312" w:cs="仿宋_GB2312"/>
        </w:rPr>
      </w:pPr>
      <w:r>
        <w:rPr>
          <w:rFonts w:ascii="楷体" w:eastAsia="楷体" w:hAnsi="楷体" w:cs="仿宋" w:hint="eastAsia"/>
          <w:bCs/>
          <w:sz w:val="32"/>
          <w:szCs w:val="32"/>
        </w:rPr>
        <w:t>3.探索“检公协作+数字检察”工作模式，通过公益诉讼检察工作助推地区综合治理。</w:t>
      </w:r>
      <w:r>
        <w:rPr>
          <w:rFonts w:ascii="仿宋_GB2312" w:eastAsia="仿宋_GB2312" w:hAnsi="仿宋_GB2312" w:cs="仿宋_GB2312" w:hint="eastAsia"/>
          <w:bCs/>
          <w:sz w:val="32"/>
          <w:szCs w:val="32"/>
        </w:rPr>
        <w:t>针对国有企业资产流失问题，立足公益诉讼职能，采取多种方式推动瓶颈问题解决，探索国有资产保护领域“检公协作+数字检察”办案模式，通过“检公协作”建立“国有企业外雇车辆数字检察模型”，并依托模型大数据排查结果，制发公益诉讼检察建议督促行政机关履行监管职责，并向案涉相关的国有企业制发3件社会类检察建议，同时形成专题调研报告层报属地政府，为属地政府决策提供检察支撑，并将履职中发现的职务犯罪线索移交纪检监察部门，形成国有资产保护合力。</w:t>
      </w:r>
    </w:p>
    <w:p>
      <w:pPr>
        <w:tabs>
          <w:tab w:val="left" w:pos="7605"/>
        </w:tabs>
        <w:ind w:firstLineChars="200" w:firstLine="640"/>
        <w:rPr>
          <w:rFonts w:ascii="黑体" w:eastAsia="黑体" w:hAnsi="黑体" w:cs="仿宋"/>
          <w:bCs/>
          <w:sz w:val="32"/>
          <w:szCs w:val="32"/>
        </w:rPr>
      </w:pPr>
      <w:r>
        <w:rPr>
          <w:rFonts w:ascii="黑体" w:eastAsia="黑体" w:hAnsi="黑体" w:cs="仿宋" w:hint="eastAsia"/>
          <w:bCs/>
          <w:sz w:val="32"/>
          <w:szCs w:val="32"/>
        </w:rPr>
        <w:t>三、下一步</w:t>
      </w:r>
      <w:r>
        <w:rPr>
          <w:rFonts w:ascii="黑体" w:eastAsia="黑体" w:hAnsi="黑体" w:cs="仿宋"/>
          <w:bCs/>
          <w:sz w:val="32"/>
          <w:szCs w:val="32"/>
        </w:rPr>
        <w:t>工作打算</w:t>
      </w:r>
    </w:p>
    <w:p>
      <w:pPr>
        <w:pStyle w:val="a9"/>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下一步，长兴岛</w:t>
      </w:r>
      <w:r>
        <w:rPr>
          <w:rFonts w:ascii="仿宋_GB2312" w:eastAsia="仿宋_GB2312" w:hAnsi="仿宋_GB2312" w:cs="仿宋_GB2312"/>
          <w:sz w:val="32"/>
          <w:szCs w:val="32"/>
        </w:rPr>
        <w:t>检察院所有干警将</w:t>
      </w:r>
      <w:r>
        <w:rPr>
          <w:rFonts w:ascii="仿宋_GB2312" w:eastAsia="仿宋_GB2312" w:hAnsi="仿宋_GB2312" w:cs="仿宋_GB2312" w:hint="eastAsia"/>
          <w:sz w:val="32"/>
          <w:szCs w:val="32"/>
        </w:rPr>
        <w:t>积极面对困难和挑战，锻长板，补短板，努力前行，完成年初“争先进位”工作目标，狠抓</w:t>
      </w:r>
      <w:r>
        <w:rPr>
          <w:rFonts w:ascii="仿宋_GB2312" w:eastAsia="仿宋_GB2312" w:hAnsi="仿宋_GB2312" w:cs="仿宋_GB2312"/>
          <w:sz w:val="32"/>
          <w:szCs w:val="32"/>
        </w:rPr>
        <w:t>业务、案件、</w:t>
      </w:r>
      <w:r>
        <w:rPr>
          <w:rFonts w:ascii="仿宋_GB2312" w:eastAsia="仿宋_GB2312" w:hAnsi="仿宋_GB2312" w:cs="仿宋_GB2312" w:hint="eastAsia"/>
          <w:sz w:val="32"/>
          <w:szCs w:val="32"/>
        </w:rPr>
        <w:t>质量</w:t>
      </w:r>
      <w:r>
        <w:rPr>
          <w:rFonts w:ascii="仿宋_GB2312" w:eastAsia="仿宋_GB2312" w:hAnsi="仿宋_GB2312" w:cs="仿宋_GB2312"/>
          <w:sz w:val="32"/>
          <w:szCs w:val="32"/>
        </w:rPr>
        <w:t>管理，</w:t>
      </w:r>
      <w:r>
        <w:rPr>
          <w:rFonts w:ascii="仿宋_GB2312" w:eastAsia="仿宋_GB2312" w:hAnsi="仿宋_GB2312" w:cs="仿宋_GB2312" w:hint="eastAsia"/>
          <w:sz w:val="32"/>
          <w:szCs w:val="32"/>
        </w:rPr>
        <w:t>以</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三个</w:t>
      </w:r>
      <w:r>
        <w:rPr>
          <w:rFonts w:ascii="仿宋_GB2312" w:eastAsia="仿宋_GB2312" w:hAnsi="仿宋_GB2312" w:cs="仿宋_GB2312"/>
          <w:sz w:val="32"/>
          <w:szCs w:val="32"/>
        </w:rPr>
        <w:t>善于”</w:t>
      </w:r>
      <w:r>
        <w:rPr>
          <w:rFonts w:ascii="仿宋_GB2312" w:eastAsia="仿宋_GB2312" w:hAnsi="仿宋_GB2312" w:cs="仿宋_GB2312" w:hint="eastAsia"/>
          <w:sz w:val="32"/>
          <w:szCs w:val="32"/>
        </w:rPr>
        <w:t>引领高质效</w:t>
      </w:r>
      <w:r>
        <w:rPr>
          <w:rFonts w:ascii="仿宋_GB2312" w:eastAsia="仿宋_GB2312" w:hAnsi="仿宋_GB2312" w:cs="仿宋_GB2312"/>
          <w:sz w:val="32"/>
          <w:szCs w:val="32"/>
        </w:rPr>
        <w:t>办好每一个案件，让长兴岛党工委管委会</w:t>
      </w:r>
      <w:r>
        <w:rPr>
          <w:rFonts w:ascii="仿宋_GB2312" w:eastAsia="仿宋_GB2312" w:hAnsi="仿宋_GB2312" w:cs="仿宋_GB2312" w:hint="eastAsia"/>
          <w:sz w:val="32"/>
          <w:szCs w:val="32"/>
        </w:rPr>
        <w:t>和</w:t>
      </w:r>
      <w:r>
        <w:rPr>
          <w:rFonts w:ascii="仿宋_GB2312" w:eastAsia="仿宋_GB2312" w:hAnsi="仿宋_GB2312" w:cs="仿宋_GB2312"/>
          <w:sz w:val="32"/>
          <w:szCs w:val="32"/>
        </w:rPr>
        <w:t>全区人民满意，</w:t>
      </w:r>
      <w:r>
        <w:rPr>
          <w:rFonts w:ascii="仿宋_GB2312" w:eastAsia="仿宋_GB2312" w:hAnsi="仿宋_GB2312" w:cs="仿宋_GB2312" w:hint="eastAsia"/>
          <w:sz w:val="32"/>
          <w:szCs w:val="32"/>
        </w:rPr>
        <w:t>以良好的工作状态和优异工作成绩回报各级领导的关心和支持。</w:t>
      </w:r>
    </w:p>
    <w:p>
      <w:pPr>
        <w:pStyle w:val="a9"/>
        <w:spacing w:line="578" w:lineRule="exact"/>
        <w:ind w:firstLineChars="200" w:firstLine="640"/>
        <w:rPr>
          <w:rFonts w:ascii="仿宋_GB2312" w:eastAsia="仿宋_GB2312" w:hAnsi="仿宋_GB2312" w:cs="仿宋_GB2312"/>
          <w:sz w:val="32"/>
          <w:szCs w:val="32"/>
        </w:rPr>
      </w:pPr>
    </w:p>
    <w:p>
      <w:pPr>
        <w:rPr>
          <w:bCs/>
        </w:rPr>
      </w:pPr>
    </w:p>
    <w:p>
      <w:pPr>
        <w:rPr>
          <w:bCs/>
        </w:rPr>
      </w:pPr>
    </w:p>
    <w:p/>
    <w:p>
      <w:r>
        <w:rPr>
          <w:rFonts w:hint="eastAsia"/>
        </w:rPr>
        <w:t xml:space="preserve"> </w:t>
      </w:r>
    </w:p>
    <w:p>
      <w:pPr>
        <w:ind w:firstLineChars="200" w:firstLine="640"/>
        <w:jc w:val="right"/>
        <w:rPr>
          <w:rFonts w:ascii="仿宋" w:eastAsia="仿宋" w:hAnsi="仿宋" w:cs="仿宋"/>
          <w:bCs/>
          <w:sz w:val="32"/>
          <w:szCs w:val="32"/>
        </w:rPr>
      </w:pPr>
      <w:r>
        <w:rPr>
          <w:rFonts w:ascii="仿宋" w:eastAsia="仿宋" w:hAnsi="仿宋" w:cs="仿宋" w:hint="eastAsia"/>
          <w:bCs/>
          <w:sz w:val="32"/>
          <w:szCs w:val="32"/>
        </w:rPr>
        <w:t>大连长兴岛经济技术开发区人民检察院</w:t>
      </w:r>
    </w:p>
    <w:p>
      <w:pPr>
        <w:ind w:right="640" w:firstLineChars="1500" w:firstLine="4800"/>
        <w:rPr>
          <w:rFonts w:ascii="仿宋" w:eastAsia="仿宋" w:hAnsi="仿宋" w:cs="仿宋"/>
          <w:bCs/>
          <w:sz w:val="32"/>
          <w:szCs w:val="32"/>
        </w:rPr>
      </w:pPr>
      <w:r>
        <w:rPr>
          <w:rFonts w:ascii="仿宋" w:eastAsia="仿宋" w:hAnsi="仿宋" w:cs="仿宋" w:hint="eastAsia"/>
          <w:bCs/>
          <w:sz w:val="32"/>
          <w:szCs w:val="32"/>
        </w:rPr>
        <w:t>2024年11月2</w:t>
      </w:r>
      <w:r>
        <w:rPr>
          <w:rFonts w:ascii="仿宋" w:eastAsia="仿宋" w:hAnsi="仿宋" w:cs="仿宋"/>
          <w:bCs/>
          <w:sz w:val="32"/>
          <w:szCs w:val="32"/>
        </w:rPr>
        <w:t>8</w:t>
      </w:r>
      <w:r>
        <w:rPr>
          <w:rFonts w:ascii="仿宋" w:eastAsia="仿宋" w:hAnsi="仿宋" w:cs="仿宋" w:hint="eastAsia"/>
          <w:bCs/>
          <w:sz w:val="32"/>
          <w:szCs w:val="32"/>
        </w:rPr>
        <w:t>日</w:t>
      </w:r>
    </w:p>
    <w:p/>
    <w:p>
      <w:pPr>
        <w:jc w:val="center"/>
        <w:rPr>
          <w:rFonts w:ascii="宋体" w:eastAsia="宋体" w:hAnsi="宋体" w:cs="宋体"/>
          <w:b/>
          <w:bCs/>
          <w:sz w:val="44"/>
          <w:szCs w:val="44"/>
        </w:rPr>
      </w:pPr>
    </w:p>
    <w:p>
      <w:pPr>
        <w:tabs>
          <w:tab w:val="left" w:pos="1297"/>
        </w:tabs>
        <w:rPr>
          <w:rFonts w:ascii="仿宋" w:eastAsia="仿宋" w:hAnsi="仿宋" w:cs="仿宋"/>
          <w:sz w:val="32"/>
          <w:szCs w:val="32"/>
        </w:rPr>
      </w:pPr>
    </w:p>
    <w:sectPr>
      <w:footerReference w:type="default" r:id="rId7"/>
      <w:pgSz w:w="11906" w:h="16838"/>
      <w:pgMar w:top="2098" w:right="1474" w:bottom="1985"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4"/>
    </w:pPr>
    <w:r>
      <w:rPr>
        <w:noProof/>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-327660</wp:posOffset>
              </wp:positionV>
              <wp:extent cx="544195" cy="24701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44195" cy="247015"/>
                      </a:xfrm>
                      <a:prstGeom prst="rect">
                        <a:avLst/>
                      </a:prstGeom>
                      <a:noFill/>
                      <a:ln>
                        <a:noFill/>
                      </a:ln>
                    </wps:spPr>
                    <wps:txbx>
                      <w:txbxContent>
                        <w:p>
                          <w:pPr>
                            <w:pStyle w:val="a4"/>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8.35pt;margin-top:-25.8pt;width:42.85pt;height:19.45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" filled="f" stroked="f">
              <v:textbox inset="0,0,0,0">
                <w:txbxContent>
                  <w:p>
                    <w:pPr>
                      <w:pStyle w:val="a4"/>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zODJiYWRkZTQ3NTdmM2ZjNzI3OGYyNDkzYjRjNDYifQ=="/>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5:docId w15:val="{65F8B4B0-CEA8-4E70-991D-21B982A7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page number" w:uiPriority="99"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footer"/>
    <w:basedOn w:val="a"/>
    <w:autoRedefine/>
    <w:uiPriority w:val="99"/>
    <w:qFormat/>
    <w:pPr>
      <w:tabs>
        <w:tab w:val="center" w:pos="4153"/>
        <w:tab w:val="right" w:pos="8306"/>
      </w:tabs>
      <w:snapToGrid w:val="0"/>
      <w:jc w:val="left"/>
    </w:pPr>
    <w:rPr>
      <w:sz w:val="18"/>
      <w:szCs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rPr>
  </w:style>
  <w:style w:type="table" w:styleId="a7">
    <w:name w:val="Table Grid"/>
    <w:basedOn w:val="a1"/>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uiPriority w:val="99"/>
    <w:qFormat/>
    <w:rPr>
      <w:rFonts w:cs="Times New Roman"/>
    </w:rPr>
  </w:style>
  <w:style w:type="paragraph" w:styleId="a9">
    <w:name w:val="No Spacing"/>
    <w:qFormat/>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650</Words>
  <Characters>3709</Characters>
  <Application>Microsoft Office Word</Application>
  <DocSecurity>0</DocSecurity>
  <Lines>30</Lines>
  <Paragraphs>8</Paragraphs>
  <ScaleCrop>false</ScaleCrop>
  <Company>Lenovo</Company>
  <LinksUpToDate>false</LinksUpToDate>
  <CharactersWithSpaces>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cp:lastPrinted>2024-11-29T02:40:00Z</cp:lastPrinted>
  <dcterms:created xsi:type="dcterms:W3CDTF">2024-11-29T03:11:00Z</dcterms:created>
  <dcterms:modified xsi:type="dcterms:W3CDTF">2024-11-29T03:11:00Z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62E00D949EFB482FA35CCF4FAF307D7B_13</vt:lpwstr>
  </property>
</Properties>
</file>